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BA0C" w14:textId="4E62707B" w:rsidR="00373B43" w:rsidRPr="00373B43" w:rsidRDefault="00373B43" w:rsidP="00373B43">
      <w:pPr>
        <w:shd w:val="clear" w:color="auto" w:fill="FFFFFF"/>
        <w:outlineLvl w:val="0"/>
        <w:rPr>
          <w:rFonts w:ascii="Lato" w:eastAsia="Times New Roman" w:hAnsi="Lato" w:cs="Times New Roman"/>
          <w:color w:val="CC3300"/>
          <w:kern w:val="36"/>
          <w:sz w:val="36"/>
          <w:szCs w:val="36"/>
          <w:lang w:eastAsia="fr-FR"/>
        </w:rPr>
      </w:pPr>
      <w:proofErr w:type="spellStart"/>
      <w:r w:rsidRPr="00373B43">
        <w:rPr>
          <w:rFonts w:ascii="Lato" w:eastAsia="Times New Roman" w:hAnsi="Lato" w:cs="Times New Roman"/>
          <w:color w:val="CC3300"/>
          <w:kern w:val="36"/>
          <w:sz w:val="36"/>
          <w:szCs w:val="36"/>
          <w:lang w:eastAsia="fr-FR"/>
        </w:rPr>
        <w:t>Cochilco</w:t>
      </w:r>
      <w:proofErr w:type="spellEnd"/>
      <w:r>
        <w:rPr>
          <w:rFonts w:ascii="Lato" w:eastAsia="Times New Roman" w:hAnsi="Lato" w:cs="Times New Roman"/>
          <w:color w:val="CC3300"/>
          <w:kern w:val="36"/>
          <w:sz w:val="36"/>
          <w:szCs w:val="36"/>
          <w:lang w:eastAsia="fr-FR"/>
        </w:rPr>
        <w:t>,</w:t>
      </w:r>
      <w:r w:rsidRPr="00373B43">
        <w:rPr>
          <w:rFonts w:ascii="Lato" w:eastAsia="Times New Roman" w:hAnsi="Lato" w:cs="Times New Roman"/>
          <w:color w:val="CC3300"/>
          <w:kern w:val="36"/>
          <w:sz w:val="36"/>
          <w:szCs w:val="36"/>
          <w:lang w:eastAsia="fr-FR"/>
        </w:rPr>
        <w:t xml:space="preserve"> les besoins en cuivre en lien avec la transition énergétique vont quintupler d’ici 2040</w:t>
      </w:r>
    </w:p>
    <w:p w14:paraId="0E4434F1" w14:textId="77777777" w:rsidR="00373B43" w:rsidRDefault="00373B43" w:rsidP="00373B43">
      <w:pPr>
        <w:shd w:val="clear" w:color="auto" w:fill="FFFFFF"/>
        <w:spacing w:before="75" w:after="75"/>
        <w:jc w:val="both"/>
        <w:rPr>
          <w:rFonts w:ascii="Lato" w:eastAsia="Times New Roman" w:hAnsi="Lato" w:cs="Times New Roman"/>
          <w:color w:val="3E001F"/>
          <w:sz w:val="30"/>
          <w:szCs w:val="30"/>
          <w:lang w:eastAsia="fr-FR"/>
        </w:rPr>
      </w:pPr>
    </w:p>
    <w:p w14:paraId="0C89E42D" w14:textId="0F4968C0"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b/>
          <w:bCs/>
          <w:color w:val="000000"/>
          <w:sz w:val="23"/>
          <w:szCs w:val="23"/>
          <w:lang w:eastAsia="fr-FR"/>
        </w:rPr>
        <w:t>Les besoins en cuivre, liés à la transition énergétique, pourraient quintupler entre 2020 et 2040, d’après la commission chilienne du cuivre </w:t>
      </w:r>
      <w:proofErr w:type="spellStart"/>
      <w:r w:rsidRPr="00373B43">
        <w:rPr>
          <w:rFonts w:ascii="Lato" w:eastAsia="Times New Roman" w:hAnsi="Lato" w:cs="Times New Roman"/>
          <w:b/>
          <w:bCs/>
          <w:i/>
          <w:iCs/>
          <w:color w:val="000000"/>
          <w:sz w:val="23"/>
          <w:szCs w:val="23"/>
          <w:lang w:eastAsia="fr-FR"/>
        </w:rPr>
        <w:t>Cochilco</w:t>
      </w:r>
      <w:proofErr w:type="spellEnd"/>
      <w:r w:rsidRPr="00373B43">
        <w:rPr>
          <w:rFonts w:ascii="Lato" w:eastAsia="Times New Roman" w:hAnsi="Lato" w:cs="Times New Roman"/>
          <w:b/>
          <w:bCs/>
          <w:color w:val="000000"/>
          <w:sz w:val="23"/>
          <w:szCs w:val="23"/>
          <w:lang w:eastAsia="fr-FR"/>
        </w:rPr>
        <w:t>.</w:t>
      </w:r>
    </w:p>
    <w:p w14:paraId="210349DF"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 </w:t>
      </w:r>
    </w:p>
    <w:p w14:paraId="1635BA58"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Ainsi l’électromobilité, les énergies à faible émission de carbone, le stockage d’énergie et le réseau électrique pourraient demander 5,4 millions de tonnes (Mt) de cuivre supplémentaires d’ici 2040, comparé à 1,2 Mt en 2020. Au cours de cette période, la demande en cuivre, revenant à la transition énergétique, pourrait atteindre 2,8 Mt en 2025, puis 3,5 Mt en 2030. A titre de comparaison, la demande globale en cuivre est attendue à 24,65 Mt en 2022.</w:t>
      </w:r>
    </w:p>
    <w:p w14:paraId="263A7CA4"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Et si les véhicules vendus en 2040 devaient tous être électriques, alors la demande en cuivre serait encore plus importante : elle pourrait requérir 4,1 Mt supplémentaires, ce qui porterait la demande liée à la transition énergétique à 9,6 Mt.</w:t>
      </w:r>
    </w:p>
    <w:p w14:paraId="2CCC5BAC"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Le ministère des mines chilien pense que l’offre ne sera pas en mesure de croître suffisamment pour répondre à cette demande. Les 9,6 Mt de cuivre supplémentaires représenteraient 27% de la production mondiale de cuivre affiné attendue en 2040.</w:t>
      </w:r>
    </w:p>
    <w:p w14:paraId="36E5A2E3"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En revanche, si les véhicules électriques ne devaient pas dominer le marché automobile en 2040, la demande liée à la transition énergétique représenterait 15% de la production mondiale. Le rythme de croissance de la demande, dans ce scenario, pourrait être le suivant : +6% en 2021, + 10% en 2025 et +12% en 2030.</w:t>
      </w:r>
    </w:p>
    <w:p w14:paraId="22A6AA4B"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Le déficit de marché soutiendra la progression des cours du cuivre, qui pourrait freiner l’utilisation du métal rouge ou encourager les investissements miniers. «</w:t>
      </w:r>
      <w:r w:rsidRPr="00373B43">
        <w:rPr>
          <w:rFonts w:ascii="Lato" w:eastAsia="Times New Roman" w:hAnsi="Lato" w:cs="Times New Roman"/>
          <w:i/>
          <w:iCs/>
          <w:color w:val="000000"/>
          <w:sz w:val="23"/>
          <w:szCs w:val="23"/>
          <w:lang w:eastAsia="fr-FR"/>
        </w:rPr>
        <w:t> Répondre à la demande, sans que cela n’entraîne une hausse substantielle des cours ou de la substitution, est le plus grand défi auquel l’industrie devra répondre</w:t>
      </w:r>
      <w:r w:rsidRPr="00373B43">
        <w:rPr>
          <w:rFonts w:ascii="Lato" w:eastAsia="Times New Roman" w:hAnsi="Lato" w:cs="Times New Roman"/>
          <w:color w:val="000000"/>
          <w:sz w:val="23"/>
          <w:szCs w:val="23"/>
          <w:lang w:eastAsia="fr-FR"/>
        </w:rPr>
        <w:t xml:space="preserve"> », estime </w:t>
      </w:r>
      <w:proofErr w:type="spellStart"/>
      <w:r w:rsidRPr="00373B43">
        <w:rPr>
          <w:rFonts w:ascii="Lato" w:eastAsia="Times New Roman" w:hAnsi="Lato" w:cs="Times New Roman"/>
          <w:color w:val="000000"/>
          <w:sz w:val="23"/>
          <w:szCs w:val="23"/>
          <w:lang w:eastAsia="fr-FR"/>
        </w:rPr>
        <w:t>Cochilco</w:t>
      </w:r>
      <w:proofErr w:type="spellEnd"/>
      <w:r w:rsidRPr="00373B43">
        <w:rPr>
          <w:rFonts w:ascii="Lato" w:eastAsia="Times New Roman" w:hAnsi="Lato" w:cs="Times New Roman"/>
          <w:color w:val="000000"/>
          <w:sz w:val="23"/>
          <w:szCs w:val="23"/>
          <w:lang w:eastAsia="fr-FR"/>
        </w:rPr>
        <w:t>. « </w:t>
      </w:r>
      <w:r w:rsidRPr="00373B43">
        <w:rPr>
          <w:rFonts w:ascii="Lato" w:eastAsia="Times New Roman" w:hAnsi="Lato" w:cs="Times New Roman"/>
          <w:i/>
          <w:iCs/>
          <w:color w:val="000000"/>
          <w:sz w:val="23"/>
          <w:szCs w:val="23"/>
          <w:lang w:eastAsia="fr-FR"/>
        </w:rPr>
        <w:t>Les cours du cuivre vont probablement rester élevés jusqu’à ce que les projets miniers sortent de terre </w:t>
      </w:r>
      <w:r w:rsidRPr="00373B43">
        <w:rPr>
          <w:rFonts w:ascii="Lato" w:eastAsia="Times New Roman" w:hAnsi="Lato" w:cs="Times New Roman"/>
          <w:color w:val="000000"/>
          <w:sz w:val="23"/>
          <w:szCs w:val="23"/>
          <w:lang w:eastAsia="fr-FR"/>
        </w:rPr>
        <w:t>». Le cours actuel du cuivre est supérieur de 10% environ au creux de 7.000 $/t touché le 15 juillet 2022. Il est en revanche en retrait de quelque 30% depuis son sommet de 10.730 $/t atteint le 7 mars 2022.</w:t>
      </w:r>
    </w:p>
    <w:p w14:paraId="6EDFD230"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proofErr w:type="spellStart"/>
      <w:r w:rsidRPr="00373B43">
        <w:rPr>
          <w:rFonts w:ascii="Lato" w:eastAsia="Times New Roman" w:hAnsi="Lato" w:cs="Times New Roman"/>
          <w:i/>
          <w:iCs/>
          <w:color w:val="000000"/>
          <w:sz w:val="23"/>
          <w:szCs w:val="23"/>
          <w:lang w:eastAsia="fr-FR"/>
        </w:rPr>
        <w:t>Cochilco</w:t>
      </w:r>
      <w:proofErr w:type="spellEnd"/>
      <w:r w:rsidRPr="00373B43">
        <w:rPr>
          <w:rFonts w:ascii="Lato" w:eastAsia="Times New Roman" w:hAnsi="Lato" w:cs="Times New Roman"/>
          <w:i/>
          <w:iCs/>
          <w:color w:val="000000"/>
          <w:sz w:val="23"/>
          <w:szCs w:val="23"/>
          <w:lang w:eastAsia="fr-FR"/>
        </w:rPr>
        <w:t> </w:t>
      </w:r>
      <w:r w:rsidRPr="00373B43">
        <w:rPr>
          <w:rFonts w:ascii="Lato" w:eastAsia="Times New Roman" w:hAnsi="Lato" w:cs="Times New Roman"/>
          <w:color w:val="000000"/>
          <w:sz w:val="23"/>
          <w:szCs w:val="23"/>
          <w:lang w:eastAsia="fr-FR"/>
        </w:rPr>
        <w:t>a intégré dans ses projections les données du scenario de l’Agence internationale de l’Energie sur la transition énergétique. Le principal secteur d’absorption du surplus de demande liée à la transition énergétique d’ici 2040 est l’automobile. Les véhicules électriques vont demander 2,4 Mt de cuivre en plus en 2040, soit plus de 44% des 5,4 millions de tonnes supplémentaires anticipées en 2040. Si tous les véhicules vendus en 2040 sont électriques, cette part passera à 6,5 Mt, soit 68% des 9,6 Mt supplémentaires prévu.</w:t>
      </w:r>
    </w:p>
    <w:p w14:paraId="1B8F7E91"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Les stations de recharge électrique requerront 164.600 tonnes de cuivre en plus d’ici 2024. Les solutions énergétiques à faible émission de carbone demanderont 1,4 Mt supplémentaire. Pour le réseau électrique, les besoins supplémentaires s’élèveront à 1,1 Mt, pour le stockage ce sera 128.100 tonnes en plus.</w:t>
      </w:r>
    </w:p>
    <w:p w14:paraId="6AF72F5B"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Les principaux risques associés à ces projections, en dehors du niveau de cours, est le changement possible dans la composition chimique des cathodes ou dans les technologies de batterie, et la baisse de l’utilisation du cuivre dans les voitures, hors batteries, pointe la commission.</w:t>
      </w:r>
    </w:p>
    <w:p w14:paraId="27E0961E" w14:textId="77777777" w:rsidR="00373B43" w:rsidRPr="00373B43" w:rsidRDefault="00373B43" w:rsidP="00373B43">
      <w:pPr>
        <w:shd w:val="clear" w:color="auto" w:fill="FFFFFF"/>
        <w:spacing w:before="75" w:after="75"/>
        <w:jc w:val="both"/>
        <w:rPr>
          <w:rFonts w:ascii="Lato" w:eastAsia="Times New Roman" w:hAnsi="Lato" w:cs="Times New Roman"/>
          <w:color w:val="000000"/>
          <w:sz w:val="23"/>
          <w:szCs w:val="23"/>
          <w:lang w:eastAsia="fr-FR"/>
        </w:rPr>
      </w:pPr>
      <w:r w:rsidRPr="00373B43">
        <w:rPr>
          <w:rFonts w:ascii="Lato" w:eastAsia="Times New Roman" w:hAnsi="Lato" w:cs="Times New Roman"/>
          <w:color w:val="000000"/>
          <w:sz w:val="23"/>
          <w:szCs w:val="23"/>
          <w:lang w:eastAsia="fr-FR"/>
        </w:rPr>
        <w:t> </w:t>
      </w:r>
    </w:p>
    <w:p w14:paraId="6F4A55E6"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43"/>
    <w:rsid w:val="000F156F"/>
    <w:rsid w:val="00373B43"/>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37AC44C"/>
  <w15:chartTrackingRefBased/>
  <w15:docId w15:val="{8FB531DE-6127-8F48-A1BF-9CC92188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73B4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73B4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3B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73B43"/>
    <w:rPr>
      <w:rFonts w:ascii="Times New Roman" w:eastAsia="Times New Roman" w:hAnsi="Times New Roman" w:cs="Times New Roman"/>
      <w:b/>
      <w:bCs/>
      <w:sz w:val="36"/>
      <w:szCs w:val="36"/>
      <w:lang w:eastAsia="fr-FR"/>
    </w:rPr>
  </w:style>
  <w:style w:type="paragraph" w:customStyle="1" w:styleId="infoarticle">
    <w:name w:val="info_article"/>
    <w:basedOn w:val="Normal"/>
    <w:rsid w:val="00373B4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73B43"/>
    <w:rPr>
      <w:color w:val="0000FF"/>
      <w:u w:val="single"/>
    </w:rPr>
  </w:style>
  <w:style w:type="paragraph" w:styleId="NormalWeb">
    <w:name w:val="Normal (Web)"/>
    <w:basedOn w:val="Normal"/>
    <w:uiPriority w:val="99"/>
    <w:semiHidden/>
    <w:unhideWhenUsed/>
    <w:rsid w:val="00373B4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73B43"/>
    <w:rPr>
      <w:b/>
      <w:bCs/>
    </w:rPr>
  </w:style>
  <w:style w:type="character" w:styleId="Accentuation">
    <w:name w:val="Emphasis"/>
    <w:basedOn w:val="Policepardfaut"/>
    <w:uiPriority w:val="20"/>
    <w:qFormat/>
    <w:rsid w:val="00373B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2022-09-19T08:30:00Z</dcterms:created>
  <dcterms:modified xsi:type="dcterms:W3CDTF">2022-09-19T08:31:00Z</dcterms:modified>
</cp:coreProperties>
</file>